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DCEA" w14:textId="50211FF8" w:rsidR="00602A8D" w:rsidRDefault="00654067" w:rsidP="00654067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36"/>
          <w:szCs w:val="36"/>
          <w:lang w:eastAsia="pt-BR"/>
        </w:rPr>
      </w:pPr>
      <w:r>
        <w:rPr>
          <w:rFonts w:eastAsia="Times New Roman" w:cs="Arial"/>
          <w:b/>
          <w:bCs/>
          <w:sz w:val="36"/>
          <w:szCs w:val="36"/>
          <w:lang w:eastAsia="pt-BR"/>
        </w:rPr>
        <w:t xml:space="preserve">                       </w:t>
      </w:r>
    </w:p>
    <w:p w14:paraId="1785D91E" w14:textId="456CDC6E" w:rsidR="00206BC7" w:rsidRPr="00206BC7" w:rsidRDefault="00501AC5" w:rsidP="003D5907">
      <w:pPr>
        <w:pStyle w:val="Cabealho"/>
        <w:jc w:val="center"/>
        <w:rPr>
          <w:rFonts w:ascii="Mangal Pro" w:hAnsi="Mangal Pro" w:cs="Mangal Pro"/>
          <w:b/>
          <w:bCs/>
          <w:sz w:val="24"/>
          <w:szCs w:val="24"/>
        </w:rPr>
      </w:pPr>
      <w:r>
        <w:rPr>
          <w:rFonts w:ascii="Mangal Pro" w:hAnsi="Mangal Pro" w:cs="Mangal Pro"/>
          <w:b/>
          <w:bCs/>
          <w:sz w:val="24"/>
          <w:szCs w:val="24"/>
        </w:rPr>
        <w:t>CALENDÁRIO DE REUNIÕES</w:t>
      </w:r>
      <w:r w:rsidR="00206BC7">
        <w:rPr>
          <w:rFonts w:ascii="Mangal Pro" w:hAnsi="Mangal Pro" w:cs="Mangal Pro"/>
          <w:b/>
          <w:bCs/>
          <w:sz w:val="24"/>
          <w:szCs w:val="24"/>
        </w:rPr>
        <w:t xml:space="preserve"> - 2026</w:t>
      </w:r>
    </w:p>
    <w:p w14:paraId="04E71AC9" w14:textId="0EC3C8EB" w:rsidR="00206BC7" w:rsidRDefault="00501AC5" w:rsidP="003D5907">
      <w:pPr>
        <w:pStyle w:val="Cabealho"/>
        <w:jc w:val="center"/>
        <w:rPr>
          <w:rFonts w:ascii="Mangal Pro" w:hAnsi="Mangal Pro" w:cs="Mangal Pro"/>
          <w:b/>
          <w:bCs/>
          <w:sz w:val="24"/>
          <w:szCs w:val="24"/>
        </w:rPr>
      </w:pPr>
      <w:r>
        <w:rPr>
          <w:rFonts w:ascii="Mangal Pro" w:hAnsi="Mangal Pro" w:cs="Mangal Pro"/>
          <w:b/>
          <w:bCs/>
          <w:sz w:val="24"/>
          <w:szCs w:val="24"/>
        </w:rPr>
        <w:t>COMITÊ DE ÉTICA EM PESQUISA</w:t>
      </w:r>
      <w:r w:rsidR="00206BC7" w:rsidRPr="00206BC7">
        <w:rPr>
          <w:rFonts w:ascii="Mangal Pro" w:hAnsi="Mangal Pro" w:cs="Mangal Pro"/>
          <w:b/>
          <w:bCs/>
          <w:sz w:val="24"/>
          <w:szCs w:val="24"/>
        </w:rPr>
        <w:t xml:space="preserve"> – CEP</w:t>
      </w:r>
      <w:r w:rsidR="00206BC7">
        <w:rPr>
          <w:rFonts w:ascii="Mangal Pro" w:hAnsi="Mangal Pro" w:cs="Mangal Pro"/>
          <w:b/>
          <w:bCs/>
          <w:sz w:val="24"/>
          <w:szCs w:val="24"/>
        </w:rPr>
        <w:t>–</w:t>
      </w:r>
      <w:r w:rsidR="00206BC7" w:rsidRPr="00206BC7">
        <w:rPr>
          <w:rFonts w:ascii="Mangal Pro" w:hAnsi="Mangal Pro" w:cs="Mangal Pro"/>
          <w:b/>
          <w:bCs/>
          <w:sz w:val="24"/>
          <w:szCs w:val="24"/>
        </w:rPr>
        <w:t>FIB</w:t>
      </w:r>
    </w:p>
    <w:p w14:paraId="3820936E" w14:textId="77777777" w:rsidR="00206BC7" w:rsidRDefault="00206BC7" w:rsidP="00206BC7">
      <w:pPr>
        <w:pStyle w:val="Cabealho"/>
        <w:rPr>
          <w:rFonts w:ascii="Mangal Pro" w:hAnsi="Mangal Pro" w:cs="Mangal Pro"/>
          <w:b/>
          <w:bCs/>
          <w:sz w:val="24"/>
          <w:szCs w:val="24"/>
        </w:rPr>
      </w:pPr>
    </w:p>
    <w:p w14:paraId="318858EF" w14:textId="07DB328A" w:rsidR="00206BC7" w:rsidRPr="00206BC7" w:rsidRDefault="00206BC7" w:rsidP="00206BC7">
      <w:pPr>
        <w:pStyle w:val="Cabealho"/>
        <w:rPr>
          <w:rFonts w:ascii="Mangal Pro" w:hAnsi="Mangal Pro" w:cs="Mangal Pro"/>
          <w:sz w:val="24"/>
          <w:szCs w:val="24"/>
        </w:rPr>
      </w:pPr>
      <w:r w:rsidRPr="00206BC7">
        <w:rPr>
          <w:rFonts w:ascii="Mangal Pro" w:hAnsi="Mangal Pro" w:cs="Mangal Pro"/>
          <w:sz w:val="24"/>
          <w:szCs w:val="24"/>
        </w:rPr>
        <w:t>O Comitê de Ética em Pesquisa das Faculdades Integradas de Bauru – CEP</w:t>
      </w:r>
      <w:r w:rsidR="00501AC5">
        <w:rPr>
          <w:rFonts w:ascii="Mangal Pro" w:hAnsi="Mangal Pro" w:cs="Mangal Pro"/>
          <w:sz w:val="24"/>
          <w:szCs w:val="24"/>
        </w:rPr>
        <w:t>-</w:t>
      </w:r>
      <w:r w:rsidRPr="00206BC7">
        <w:rPr>
          <w:rFonts w:ascii="Mangal Pro" w:hAnsi="Mangal Pro" w:cs="Mangal Pro"/>
          <w:sz w:val="24"/>
          <w:szCs w:val="24"/>
        </w:rPr>
        <w:t>FIB torna público o calendário oficial de reuniões ordinárias para o ano de 2026, conforme cronograma abaixo:</w:t>
      </w:r>
    </w:p>
    <w:p w14:paraId="56C884FE" w14:textId="77777777" w:rsidR="00206BC7" w:rsidRPr="00206BC7" w:rsidRDefault="00000000" w:rsidP="00206BC7">
      <w:pPr>
        <w:pStyle w:val="Cabealho"/>
        <w:rPr>
          <w:rFonts w:ascii="Mangal Pro" w:hAnsi="Mangal Pro" w:cs="Mangal Pro"/>
          <w:sz w:val="24"/>
          <w:szCs w:val="24"/>
        </w:rPr>
      </w:pPr>
      <w:r>
        <w:rPr>
          <w:rFonts w:ascii="Mangal Pro" w:hAnsi="Mangal Pro" w:cs="Mangal Pro"/>
          <w:sz w:val="24"/>
          <w:szCs w:val="24"/>
        </w:rPr>
        <w:pict w14:anchorId="761C191B">
          <v:rect id="_x0000_i1025" style="width:0;height:1.5pt" o:hralign="center" o:hrstd="t" o:hr="t" fillcolor="#a0a0a0" stroked="f"/>
        </w:pict>
      </w:r>
    </w:p>
    <w:p w14:paraId="4A35C120" w14:textId="77777777" w:rsidR="00206BC7" w:rsidRDefault="00206BC7" w:rsidP="00206BC7">
      <w:pPr>
        <w:pStyle w:val="Cabealho"/>
        <w:rPr>
          <w:rFonts w:ascii="Segoe UI Emoji" w:hAnsi="Segoe UI Emoji" w:cs="Segoe UI Emoji"/>
          <w:b/>
          <w:bCs/>
          <w:sz w:val="24"/>
          <w:szCs w:val="24"/>
        </w:rPr>
      </w:pPr>
    </w:p>
    <w:p w14:paraId="65A2D8A4" w14:textId="407100BA" w:rsidR="00206BC7" w:rsidRDefault="00206BC7" w:rsidP="00206BC7">
      <w:pPr>
        <w:pStyle w:val="Cabealho"/>
        <w:rPr>
          <w:rFonts w:ascii="Mangal Pro" w:hAnsi="Mangal Pro" w:cs="Mangal Pro"/>
          <w:b/>
          <w:bCs/>
          <w:sz w:val="24"/>
          <w:szCs w:val="24"/>
        </w:rPr>
      </w:pPr>
      <w:r w:rsidRPr="00206BC7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206BC7">
        <w:rPr>
          <w:rFonts w:ascii="Mangal Pro" w:hAnsi="Mangal Pro" w:cs="Mangal Pro"/>
          <w:b/>
          <w:bCs/>
          <w:sz w:val="24"/>
          <w:szCs w:val="24"/>
        </w:rPr>
        <w:t xml:space="preserve"> Cronograma 2026</w:t>
      </w:r>
    </w:p>
    <w:p w14:paraId="23A9B427" w14:textId="77777777" w:rsidR="00206BC7" w:rsidRPr="00206BC7" w:rsidRDefault="00206BC7" w:rsidP="00206BC7">
      <w:pPr>
        <w:pStyle w:val="Cabealho"/>
        <w:rPr>
          <w:rFonts w:ascii="Mangal Pro" w:hAnsi="Mangal Pro" w:cs="Mangal Pro"/>
          <w:b/>
          <w:bCs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2126"/>
      </w:tblGrid>
      <w:tr w:rsidR="00206BC7" w:rsidRPr="00206BC7" w14:paraId="0D065B5E" w14:textId="77777777" w:rsidTr="003B78C3">
        <w:trPr>
          <w:tblHeader/>
          <w:tblCellSpacing w:w="15" w:type="dxa"/>
        </w:trPr>
        <w:tc>
          <w:tcPr>
            <w:tcW w:w="3494" w:type="dxa"/>
            <w:shd w:val="clear" w:color="auto" w:fill="8DB3E2" w:themeFill="text2" w:themeFillTint="66"/>
            <w:vAlign w:val="center"/>
            <w:hideMark/>
          </w:tcPr>
          <w:p w14:paraId="335DF9A6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b/>
                <w:bCs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b/>
                <w:bCs/>
                <w:sz w:val="24"/>
                <w:szCs w:val="24"/>
              </w:rPr>
              <w:t>Projetos submetidos até</w:t>
            </w:r>
          </w:p>
        </w:tc>
        <w:tc>
          <w:tcPr>
            <w:tcW w:w="2081" w:type="dxa"/>
            <w:shd w:val="clear" w:color="auto" w:fill="8DB3E2" w:themeFill="text2" w:themeFillTint="66"/>
            <w:vAlign w:val="center"/>
            <w:hideMark/>
          </w:tcPr>
          <w:p w14:paraId="373F28A0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b/>
                <w:bCs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b/>
                <w:bCs/>
                <w:sz w:val="24"/>
                <w:szCs w:val="24"/>
              </w:rPr>
              <w:t>Data da Reunião</w:t>
            </w:r>
          </w:p>
        </w:tc>
      </w:tr>
      <w:tr w:rsidR="00206BC7" w:rsidRPr="00206BC7" w14:paraId="55587DCD" w14:textId="77777777" w:rsidTr="00206BC7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47EBE570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31/01/2026</w:t>
            </w:r>
          </w:p>
        </w:tc>
        <w:tc>
          <w:tcPr>
            <w:tcW w:w="2081" w:type="dxa"/>
            <w:vAlign w:val="center"/>
            <w:hideMark/>
          </w:tcPr>
          <w:p w14:paraId="3FCDCDAF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11/02/2026</w:t>
            </w:r>
          </w:p>
        </w:tc>
      </w:tr>
      <w:tr w:rsidR="00206BC7" w:rsidRPr="00206BC7" w14:paraId="5ED7B221" w14:textId="77777777" w:rsidTr="003B78C3">
        <w:trPr>
          <w:tblCellSpacing w:w="15" w:type="dxa"/>
        </w:trPr>
        <w:tc>
          <w:tcPr>
            <w:tcW w:w="3494" w:type="dxa"/>
            <w:shd w:val="clear" w:color="auto" w:fill="C6D9F1" w:themeFill="text2" w:themeFillTint="33"/>
            <w:vAlign w:val="center"/>
            <w:hideMark/>
          </w:tcPr>
          <w:p w14:paraId="3EDF0966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28/02/2026</w:t>
            </w:r>
          </w:p>
        </w:tc>
        <w:tc>
          <w:tcPr>
            <w:tcW w:w="2081" w:type="dxa"/>
            <w:shd w:val="clear" w:color="auto" w:fill="C6D9F1" w:themeFill="text2" w:themeFillTint="33"/>
            <w:vAlign w:val="center"/>
            <w:hideMark/>
          </w:tcPr>
          <w:p w14:paraId="0D78656D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11/03/2026</w:t>
            </w:r>
          </w:p>
        </w:tc>
      </w:tr>
      <w:tr w:rsidR="00206BC7" w:rsidRPr="00206BC7" w14:paraId="1DD2807B" w14:textId="77777777" w:rsidTr="00206BC7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13D98A49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31/03/2026</w:t>
            </w:r>
          </w:p>
        </w:tc>
        <w:tc>
          <w:tcPr>
            <w:tcW w:w="2081" w:type="dxa"/>
            <w:vAlign w:val="center"/>
            <w:hideMark/>
          </w:tcPr>
          <w:p w14:paraId="1B9AD462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08/04/2026</w:t>
            </w:r>
          </w:p>
        </w:tc>
      </w:tr>
      <w:tr w:rsidR="00206BC7" w:rsidRPr="00206BC7" w14:paraId="0F5B13BB" w14:textId="77777777" w:rsidTr="003B78C3">
        <w:trPr>
          <w:tblCellSpacing w:w="15" w:type="dxa"/>
        </w:trPr>
        <w:tc>
          <w:tcPr>
            <w:tcW w:w="3494" w:type="dxa"/>
            <w:shd w:val="clear" w:color="auto" w:fill="C6D9F1" w:themeFill="text2" w:themeFillTint="33"/>
            <w:vAlign w:val="center"/>
            <w:hideMark/>
          </w:tcPr>
          <w:p w14:paraId="2F97B019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30/04/2026</w:t>
            </w:r>
          </w:p>
        </w:tc>
        <w:tc>
          <w:tcPr>
            <w:tcW w:w="2081" w:type="dxa"/>
            <w:shd w:val="clear" w:color="auto" w:fill="C6D9F1" w:themeFill="text2" w:themeFillTint="33"/>
            <w:vAlign w:val="center"/>
            <w:hideMark/>
          </w:tcPr>
          <w:p w14:paraId="694B7882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14/05/2026</w:t>
            </w:r>
          </w:p>
        </w:tc>
      </w:tr>
      <w:tr w:rsidR="00206BC7" w:rsidRPr="00206BC7" w14:paraId="02FDCD90" w14:textId="77777777" w:rsidTr="00206BC7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3410B41E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31/05/2026</w:t>
            </w:r>
          </w:p>
        </w:tc>
        <w:tc>
          <w:tcPr>
            <w:tcW w:w="2081" w:type="dxa"/>
            <w:vAlign w:val="center"/>
            <w:hideMark/>
          </w:tcPr>
          <w:p w14:paraId="7FDAABCD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10/06/2026</w:t>
            </w:r>
          </w:p>
        </w:tc>
      </w:tr>
      <w:tr w:rsidR="00206BC7" w:rsidRPr="00206BC7" w14:paraId="57FA659C" w14:textId="77777777" w:rsidTr="003B78C3">
        <w:trPr>
          <w:tblCellSpacing w:w="15" w:type="dxa"/>
        </w:trPr>
        <w:tc>
          <w:tcPr>
            <w:tcW w:w="3494" w:type="dxa"/>
            <w:shd w:val="clear" w:color="auto" w:fill="C6D9F1" w:themeFill="text2" w:themeFillTint="33"/>
            <w:vAlign w:val="center"/>
            <w:hideMark/>
          </w:tcPr>
          <w:p w14:paraId="5DC3CAFA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30/06/2026</w:t>
            </w:r>
          </w:p>
        </w:tc>
        <w:tc>
          <w:tcPr>
            <w:tcW w:w="2081" w:type="dxa"/>
            <w:shd w:val="clear" w:color="auto" w:fill="C6D9F1" w:themeFill="text2" w:themeFillTint="33"/>
            <w:vAlign w:val="center"/>
            <w:hideMark/>
          </w:tcPr>
          <w:p w14:paraId="3B4EC578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08/07/2026</w:t>
            </w:r>
          </w:p>
        </w:tc>
      </w:tr>
      <w:tr w:rsidR="00206BC7" w:rsidRPr="00206BC7" w14:paraId="2B4D818A" w14:textId="77777777" w:rsidTr="00206BC7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3C18E36B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31/07/2026</w:t>
            </w:r>
          </w:p>
        </w:tc>
        <w:tc>
          <w:tcPr>
            <w:tcW w:w="2081" w:type="dxa"/>
            <w:vAlign w:val="center"/>
            <w:hideMark/>
          </w:tcPr>
          <w:p w14:paraId="21D9603B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12/08/2026</w:t>
            </w:r>
          </w:p>
        </w:tc>
      </w:tr>
      <w:tr w:rsidR="00206BC7" w:rsidRPr="00206BC7" w14:paraId="1847F764" w14:textId="77777777" w:rsidTr="003B78C3">
        <w:trPr>
          <w:tblCellSpacing w:w="15" w:type="dxa"/>
        </w:trPr>
        <w:tc>
          <w:tcPr>
            <w:tcW w:w="3494" w:type="dxa"/>
            <w:shd w:val="clear" w:color="auto" w:fill="C6D9F1" w:themeFill="text2" w:themeFillTint="33"/>
            <w:vAlign w:val="center"/>
            <w:hideMark/>
          </w:tcPr>
          <w:p w14:paraId="576F5742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31/08/2026</w:t>
            </w:r>
          </w:p>
        </w:tc>
        <w:tc>
          <w:tcPr>
            <w:tcW w:w="2081" w:type="dxa"/>
            <w:shd w:val="clear" w:color="auto" w:fill="C6D9F1" w:themeFill="text2" w:themeFillTint="33"/>
            <w:vAlign w:val="center"/>
            <w:hideMark/>
          </w:tcPr>
          <w:p w14:paraId="65736DCB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09/09/2026</w:t>
            </w:r>
          </w:p>
        </w:tc>
      </w:tr>
      <w:tr w:rsidR="00206BC7" w:rsidRPr="00206BC7" w14:paraId="36C777A5" w14:textId="77777777" w:rsidTr="00206BC7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1BEA675C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30/09/2026</w:t>
            </w:r>
          </w:p>
        </w:tc>
        <w:tc>
          <w:tcPr>
            <w:tcW w:w="2081" w:type="dxa"/>
            <w:vAlign w:val="center"/>
            <w:hideMark/>
          </w:tcPr>
          <w:p w14:paraId="0A8BF876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14/10/2026</w:t>
            </w:r>
          </w:p>
        </w:tc>
      </w:tr>
      <w:tr w:rsidR="00206BC7" w:rsidRPr="00206BC7" w14:paraId="3F741805" w14:textId="77777777" w:rsidTr="003B78C3">
        <w:trPr>
          <w:tblCellSpacing w:w="15" w:type="dxa"/>
        </w:trPr>
        <w:tc>
          <w:tcPr>
            <w:tcW w:w="3494" w:type="dxa"/>
            <w:shd w:val="clear" w:color="auto" w:fill="C6D9F1" w:themeFill="text2" w:themeFillTint="33"/>
            <w:vAlign w:val="center"/>
            <w:hideMark/>
          </w:tcPr>
          <w:p w14:paraId="1D45D84C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31/10/2026</w:t>
            </w:r>
          </w:p>
        </w:tc>
        <w:tc>
          <w:tcPr>
            <w:tcW w:w="2081" w:type="dxa"/>
            <w:shd w:val="clear" w:color="auto" w:fill="C6D9F1" w:themeFill="text2" w:themeFillTint="33"/>
            <w:vAlign w:val="center"/>
            <w:hideMark/>
          </w:tcPr>
          <w:p w14:paraId="1B87AFE8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11/11/2026</w:t>
            </w:r>
          </w:p>
        </w:tc>
      </w:tr>
      <w:tr w:rsidR="00206BC7" w:rsidRPr="00206BC7" w14:paraId="79827547" w14:textId="77777777" w:rsidTr="00206BC7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63CA4F42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30/11/2026</w:t>
            </w:r>
          </w:p>
        </w:tc>
        <w:tc>
          <w:tcPr>
            <w:tcW w:w="2081" w:type="dxa"/>
            <w:vAlign w:val="center"/>
            <w:hideMark/>
          </w:tcPr>
          <w:p w14:paraId="634F6FD7" w14:textId="77777777" w:rsidR="00206BC7" w:rsidRPr="00206BC7" w:rsidRDefault="00206BC7" w:rsidP="00206BC7">
            <w:pPr>
              <w:pStyle w:val="Cabealho"/>
              <w:rPr>
                <w:rFonts w:ascii="Mangal Pro" w:hAnsi="Mangal Pro" w:cs="Mangal Pro"/>
                <w:sz w:val="24"/>
                <w:szCs w:val="24"/>
              </w:rPr>
            </w:pPr>
            <w:r w:rsidRPr="00206BC7">
              <w:rPr>
                <w:rFonts w:ascii="Mangal Pro" w:hAnsi="Mangal Pro" w:cs="Mangal Pro"/>
                <w:sz w:val="24"/>
                <w:szCs w:val="24"/>
              </w:rPr>
              <w:t>09/12/2026</w:t>
            </w:r>
          </w:p>
        </w:tc>
      </w:tr>
    </w:tbl>
    <w:p w14:paraId="1CDA0D65" w14:textId="6FBF8E6A" w:rsidR="00206BC7" w:rsidRPr="00206BC7" w:rsidRDefault="00206BC7" w:rsidP="00206BC7">
      <w:pPr>
        <w:pStyle w:val="Cabealho"/>
        <w:rPr>
          <w:rFonts w:ascii="Mangal Pro" w:hAnsi="Mangal Pro" w:cs="Mangal Pro"/>
          <w:sz w:val="24"/>
          <w:szCs w:val="24"/>
        </w:rPr>
      </w:pPr>
    </w:p>
    <w:p w14:paraId="169DC369" w14:textId="5957B0E6" w:rsidR="00206BC7" w:rsidRDefault="00000000" w:rsidP="00206BC7">
      <w:pPr>
        <w:pStyle w:val="Cabealho"/>
        <w:rPr>
          <w:rFonts w:ascii="Segoe UI Emoji" w:hAnsi="Segoe UI Emoji" w:cs="Segoe UI Emoji"/>
          <w:b/>
          <w:bCs/>
          <w:sz w:val="24"/>
          <w:szCs w:val="24"/>
        </w:rPr>
      </w:pPr>
      <w:r>
        <w:rPr>
          <w:rFonts w:ascii="Mangal Pro" w:hAnsi="Mangal Pro" w:cs="Mangal Pro"/>
          <w:sz w:val="24"/>
          <w:szCs w:val="24"/>
        </w:rPr>
        <w:pict w14:anchorId="22C7781D">
          <v:rect id="_x0000_i1026" style="width:0;height:1.5pt" o:hralign="center" o:hrstd="t" o:hr="t" fillcolor="#a0a0a0" stroked="f"/>
        </w:pict>
      </w:r>
    </w:p>
    <w:p w14:paraId="43FD1D19" w14:textId="77777777" w:rsidR="00206BC7" w:rsidRDefault="00206BC7" w:rsidP="00206BC7">
      <w:pPr>
        <w:pStyle w:val="Cabealho"/>
        <w:rPr>
          <w:rFonts w:ascii="Segoe UI Emoji" w:hAnsi="Segoe UI Emoji" w:cs="Segoe UI Emoji"/>
          <w:b/>
          <w:bCs/>
          <w:sz w:val="24"/>
          <w:szCs w:val="24"/>
        </w:rPr>
      </w:pPr>
    </w:p>
    <w:p w14:paraId="7440A50B" w14:textId="54C4A293" w:rsidR="00206BC7" w:rsidRPr="00206BC7" w:rsidRDefault="00206BC7" w:rsidP="00206BC7">
      <w:pPr>
        <w:pStyle w:val="Cabealho"/>
        <w:rPr>
          <w:rFonts w:ascii="Mangal Pro" w:hAnsi="Mangal Pro" w:cs="Mangal Pro"/>
          <w:b/>
          <w:bCs/>
          <w:sz w:val="24"/>
          <w:szCs w:val="24"/>
        </w:rPr>
      </w:pPr>
      <w:r w:rsidRPr="00206BC7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206BC7">
        <w:rPr>
          <w:rFonts w:ascii="Mangal Pro" w:hAnsi="Mangal Pro" w:cs="Mangal Pro"/>
          <w:b/>
          <w:bCs/>
          <w:sz w:val="24"/>
          <w:szCs w:val="24"/>
        </w:rPr>
        <w:t xml:space="preserve"> Informações Importantes</w:t>
      </w:r>
    </w:p>
    <w:p w14:paraId="6F089087" w14:textId="77777777" w:rsidR="00206BC7" w:rsidRPr="00206BC7" w:rsidRDefault="00206BC7" w:rsidP="00206BC7">
      <w:pPr>
        <w:pStyle w:val="Cabealho"/>
        <w:numPr>
          <w:ilvl w:val="0"/>
          <w:numId w:val="1"/>
        </w:numPr>
        <w:rPr>
          <w:rFonts w:ascii="Mangal Pro" w:hAnsi="Mangal Pro" w:cs="Mangal Pro"/>
          <w:sz w:val="24"/>
          <w:szCs w:val="24"/>
        </w:rPr>
      </w:pPr>
      <w:r w:rsidRPr="00206BC7">
        <w:rPr>
          <w:rFonts w:ascii="Mangal Pro" w:hAnsi="Mangal Pro" w:cs="Mangal Pro"/>
          <w:sz w:val="24"/>
          <w:szCs w:val="24"/>
        </w:rPr>
        <w:t xml:space="preserve">As datas das reuniões poderão ser alteradas conforme necessidade do CEP e/ou de seus membros. </w:t>
      </w:r>
    </w:p>
    <w:p w14:paraId="369D7CDC" w14:textId="77777777" w:rsidR="00206BC7" w:rsidRPr="00206BC7" w:rsidRDefault="00206BC7" w:rsidP="00206BC7">
      <w:pPr>
        <w:pStyle w:val="Cabealho"/>
        <w:numPr>
          <w:ilvl w:val="0"/>
          <w:numId w:val="1"/>
        </w:numPr>
        <w:rPr>
          <w:rFonts w:ascii="Mangal Pro" w:hAnsi="Mangal Pro" w:cs="Mangal Pro"/>
          <w:sz w:val="24"/>
          <w:szCs w:val="24"/>
        </w:rPr>
      </w:pPr>
      <w:r w:rsidRPr="00206BC7">
        <w:rPr>
          <w:rFonts w:ascii="Mangal Pro" w:hAnsi="Mangal Pro" w:cs="Mangal Pro"/>
          <w:sz w:val="24"/>
          <w:szCs w:val="24"/>
        </w:rPr>
        <w:lastRenderedPageBreak/>
        <w:t xml:space="preserve">Reuniões poderão ser canceladas ou poderão ser convocadas sessões extraordinárias, de acordo com o número de projetos submetidos e a disponibilidade dos membros do Comitê. </w:t>
      </w:r>
    </w:p>
    <w:p w14:paraId="52CBDA77" w14:textId="77777777" w:rsidR="00206BC7" w:rsidRPr="00206BC7" w:rsidRDefault="00206BC7" w:rsidP="00206BC7">
      <w:pPr>
        <w:pStyle w:val="Cabealho"/>
        <w:numPr>
          <w:ilvl w:val="0"/>
          <w:numId w:val="1"/>
        </w:numPr>
        <w:rPr>
          <w:rFonts w:ascii="Mangal Pro" w:hAnsi="Mangal Pro" w:cs="Mangal Pro"/>
          <w:sz w:val="24"/>
          <w:szCs w:val="24"/>
        </w:rPr>
      </w:pPr>
      <w:r w:rsidRPr="00206BC7">
        <w:rPr>
          <w:rFonts w:ascii="Mangal Pro" w:hAnsi="Mangal Pro" w:cs="Mangal Pro"/>
          <w:sz w:val="24"/>
          <w:szCs w:val="24"/>
        </w:rPr>
        <w:t xml:space="preserve">De acordo com a </w:t>
      </w:r>
      <w:r w:rsidRPr="00206BC7">
        <w:rPr>
          <w:rFonts w:ascii="Mangal Pro" w:hAnsi="Mangal Pro" w:cs="Mangal Pro"/>
          <w:b/>
          <w:bCs/>
          <w:sz w:val="24"/>
          <w:szCs w:val="24"/>
        </w:rPr>
        <w:t>Norma Operacional CNS nº 001/2013</w:t>
      </w:r>
      <w:r w:rsidRPr="00206BC7">
        <w:rPr>
          <w:rFonts w:ascii="Mangal Pro" w:hAnsi="Mangal Pro" w:cs="Mangal Pro"/>
          <w:sz w:val="24"/>
          <w:szCs w:val="24"/>
        </w:rPr>
        <w:t xml:space="preserve">, após a submissão do projeto na Plataforma Brasil, o CEP dispõe de: </w:t>
      </w:r>
    </w:p>
    <w:p w14:paraId="7188D933" w14:textId="77777777" w:rsidR="00206BC7" w:rsidRPr="00206BC7" w:rsidRDefault="00206BC7" w:rsidP="00206BC7">
      <w:pPr>
        <w:pStyle w:val="Cabealho"/>
        <w:numPr>
          <w:ilvl w:val="1"/>
          <w:numId w:val="1"/>
        </w:numPr>
        <w:rPr>
          <w:rFonts w:ascii="Mangal Pro" w:hAnsi="Mangal Pro" w:cs="Mangal Pro"/>
          <w:sz w:val="24"/>
          <w:szCs w:val="24"/>
        </w:rPr>
      </w:pPr>
      <w:r w:rsidRPr="00206BC7">
        <w:rPr>
          <w:rFonts w:ascii="Mangal Pro" w:hAnsi="Mangal Pro" w:cs="Mangal Pro"/>
          <w:b/>
          <w:bCs/>
          <w:sz w:val="24"/>
          <w:szCs w:val="24"/>
        </w:rPr>
        <w:t>até 10 dias</w:t>
      </w:r>
      <w:r w:rsidRPr="00206BC7">
        <w:rPr>
          <w:rFonts w:ascii="Mangal Pro" w:hAnsi="Mangal Pro" w:cs="Mangal Pro"/>
          <w:sz w:val="24"/>
          <w:szCs w:val="24"/>
        </w:rPr>
        <w:t xml:space="preserve"> para a etapa de checagem documental (recepção); </w:t>
      </w:r>
    </w:p>
    <w:p w14:paraId="2A016ECB" w14:textId="52E0DDF3" w:rsidR="00206BC7" w:rsidRPr="00206BC7" w:rsidRDefault="00206BC7" w:rsidP="002E384C">
      <w:pPr>
        <w:pStyle w:val="Cabealho"/>
        <w:numPr>
          <w:ilvl w:val="1"/>
          <w:numId w:val="1"/>
        </w:numPr>
        <w:rPr>
          <w:rFonts w:ascii="Mangal Pro" w:hAnsi="Mangal Pro" w:cs="Mangal Pro"/>
          <w:sz w:val="24"/>
          <w:szCs w:val="24"/>
        </w:rPr>
      </w:pPr>
      <w:r w:rsidRPr="00DD69D1">
        <w:rPr>
          <w:rFonts w:ascii="Mangal Pro" w:hAnsi="Mangal Pro" w:cs="Mangal Pro"/>
          <w:b/>
          <w:bCs/>
          <w:sz w:val="24"/>
          <w:szCs w:val="24"/>
        </w:rPr>
        <w:t>até 30 dias</w:t>
      </w:r>
      <w:r w:rsidRPr="00DD69D1">
        <w:rPr>
          <w:rFonts w:ascii="Mangal Pro" w:hAnsi="Mangal Pro" w:cs="Mangal Pro"/>
          <w:sz w:val="24"/>
          <w:szCs w:val="24"/>
        </w:rPr>
        <w:t xml:space="preserve"> para análise e emissão do parecer final.</w:t>
      </w:r>
    </w:p>
    <w:sectPr w:rsidR="00206BC7" w:rsidRPr="00206BC7" w:rsidSect="0040472B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10A7" w14:textId="77777777" w:rsidR="009F5515" w:rsidRDefault="009F5515" w:rsidP="00B46388">
      <w:pPr>
        <w:spacing w:after="0" w:line="240" w:lineRule="auto"/>
      </w:pPr>
      <w:r>
        <w:separator/>
      </w:r>
    </w:p>
  </w:endnote>
  <w:endnote w:type="continuationSeparator" w:id="0">
    <w:p w14:paraId="6B872F47" w14:textId="77777777" w:rsidR="009F5515" w:rsidRDefault="009F5515" w:rsidP="00B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319223"/>
      <w:docPartObj>
        <w:docPartGallery w:val="Page Numbers (Bottom of Page)"/>
        <w:docPartUnique/>
      </w:docPartObj>
    </w:sdtPr>
    <w:sdtContent>
      <w:p w14:paraId="59332EEF" w14:textId="22ACAE1D" w:rsidR="007E6B97" w:rsidRDefault="007E6B9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BAD4C4" w14:textId="77777777" w:rsidR="007E6B97" w:rsidRDefault="007E6B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6606" w14:textId="77777777" w:rsidR="009F5515" w:rsidRDefault="009F5515" w:rsidP="00B46388">
      <w:pPr>
        <w:spacing w:after="0" w:line="240" w:lineRule="auto"/>
      </w:pPr>
      <w:r>
        <w:separator/>
      </w:r>
    </w:p>
  </w:footnote>
  <w:footnote w:type="continuationSeparator" w:id="0">
    <w:p w14:paraId="63516470" w14:textId="77777777" w:rsidR="009F5515" w:rsidRDefault="009F5515" w:rsidP="00B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8350" w14:textId="782CBE63" w:rsidR="00B46388" w:rsidRPr="00B46388" w:rsidRDefault="00B46388">
    <w:pPr>
      <w:pStyle w:val="Cabealho"/>
      <w:rPr>
        <w:rFonts w:ascii="Mangal Pro" w:hAnsi="Mangal Pro" w:cs="Mangal Pro"/>
        <w:color w:val="1F497D" w:themeColor="text2"/>
        <w:sz w:val="24"/>
        <w:szCs w:val="24"/>
      </w:rPr>
    </w:pPr>
    <w:r w:rsidRPr="00B46388">
      <w:rPr>
        <w:rFonts w:ascii="Mangal Pro" w:hAnsi="Mangal Pro" w:cs="Mangal Pro"/>
        <w:b/>
        <w:bCs/>
        <w:noProof/>
        <w:color w:val="1F497D" w:themeColor="text2"/>
        <w:sz w:val="44"/>
        <w:szCs w:val="44"/>
      </w:rPr>
      <w:drawing>
        <wp:anchor distT="0" distB="0" distL="114300" distR="114300" simplePos="0" relativeHeight="251659264" behindDoc="0" locked="0" layoutInCell="1" allowOverlap="1" wp14:anchorId="52EC869E" wp14:editId="137342F6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542925" cy="546934"/>
          <wp:effectExtent l="0" t="0" r="0" b="5715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6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6388">
      <w:rPr>
        <w:rFonts w:ascii="Mangal Pro" w:hAnsi="Mangal Pro" w:cs="Mangal Pro"/>
        <w:color w:val="1F497D" w:themeColor="text2"/>
        <w:sz w:val="24"/>
        <w:szCs w:val="24"/>
      </w:rPr>
      <w:t>Comitê de Ética em Pesquis</w:t>
    </w:r>
    <w:r>
      <w:rPr>
        <w:rFonts w:ascii="Mangal Pro" w:hAnsi="Mangal Pro" w:cs="Mangal Pro"/>
        <w:color w:val="1F497D" w:themeColor="text2"/>
        <w:sz w:val="24"/>
        <w:szCs w:val="24"/>
      </w:rPr>
      <w:t>a</w:t>
    </w:r>
    <w:r w:rsidRPr="00B46388">
      <w:rPr>
        <w:rFonts w:ascii="Mangal Pro" w:hAnsi="Mangal Pro" w:cs="Mangal Pro"/>
        <w:color w:val="1F497D" w:themeColor="text2"/>
        <w:sz w:val="24"/>
        <w:szCs w:val="24"/>
      </w:rPr>
      <w:t xml:space="preserve"> – CEP – FIB</w:t>
    </w:r>
  </w:p>
  <w:p w14:paraId="6EDD0F33" w14:textId="73022348" w:rsidR="00B46388" w:rsidRPr="00B46388" w:rsidRDefault="00B46388">
    <w:pPr>
      <w:pStyle w:val="Cabealho"/>
      <w:rPr>
        <w:rFonts w:ascii="Mangal Pro" w:hAnsi="Mangal Pro" w:cs="Mangal Pro"/>
        <w:color w:val="1F497D" w:themeColor="text2"/>
        <w:sz w:val="24"/>
        <w:szCs w:val="24"/>
      </w:rPr>
    </w:pPr>
    <w:r w:rsidRPr="00B46388">
      <w:rPr>
        <w:rFonts w:ascii="Mangal Pro" w:hAnsi="Mangal Pro" w:cs="Mangal Pro"/>
        <w:color w:val="1F497D" w:themeColor="text2"/>
        <w:sz w:val="24"/>
        <w:szCs w:val="24"/>
      </w:rPr>
      <w:t>Centro de Pesquisa e Desenvolvimento Tecnológico (FIB P&amp;D)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F42AE"/>
    <w:multiLevelType w:val="multilevel"/>
    <w:tmpl w:val="B3A2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22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78D"/>
    <w:rsid w:val="000112AA"/>
    <w:rsid w:val="0005647C"/>
    <w:rsid w:val="00080539"/>
    <w:rsid w:val="000A2B65"/>
    <w:rsid w:val="000A43A6"/>
    <w:rsid w:val="000C4DF5"/>
    <w:rsid w:val="00106407"/>
    <w:rsid w:val="00134CE3"/>
    <w:rsid w:val="00184E22"/>
    <w:rsid w:val="001D3CF7"/>
    <w:rsid w:val="001D5760"/>
    <w:rsid w:val="001F3D24"/>
    <w:rsid w:val="00206BC7"/>
    <w:rsid w:val="0026149A"/>
    <w:rsid w:val="002824A3"/>
    <w:rsid w:val="002B4F37"/>
    <w:rsid w:val="00305257"/>
    <w:rsid w:val="00330A1A"/>
    <w:rsid w:val="00385D55"/>
    <w:rsid w:val="003B78C3"/>
    <w:rsid w:val="003C378D"/>
    <w:rsid w:val="003D5907"/>
    <w:rsid w:val="0040472B"/>
    <w:rsid w:val="00422BE8"/>
    <w:rsid w:val="00452C73"/>
    <w:rsid w:val="0045758B"/>
    <w:rsid w:val="00457E0C"/>
    <w:rsid w:val="00501AC5"/>
    <w:rsid w:val="00511BA4"/>
    <w:rsid w:val="00512649"/>
    <w:rsid w:val="00572279"/>
    <w:rsid w:val="005B126B"/>
    <w:rsid w:val="005C4B1B"/>
    <w:rsid w:val="00602A8D"/>
    <w:rsid w:val="006170EF"/>
    <w:rsid w:val="00654067"/>
    <w:rsid w:val="00684312"/>
    <w:rsid w:val="00696AEF"/>
    <w:rsid w:val="006F56AF"/>
    <w:rsid w:val="0071759C"/>
    <w:rsid w:val="007200CA"/>
    <w:rsid w:val="007A5AF7"/>
    <w:rsid w:val="007E0270"/>
    <w:rsid w:val="007E6B97"/>
    <w:rsid w:val="008162FD"/>
    <w:rsid w:val="00876B87"/>
    <w:rsid w:val="008800CA"/>
    <w:rsid w:val="008A141B"/>
    <w:rsid w:val="008A2BAC"/>
    <w:rsid w:val="008D50BD"/>
    <w:rsid w:val="0092213C"/>
    <w:rsid w:val="00957111"/>
    <w:rsid w:val="00961F52"/>
    <w:rsid w:val="00966AAC"/>
    <w:rsid w:val="009A4FAF"/>
    <w:rsid w:val="009F5515"/>
    <w:rsid w:val="00A24717"/>
    <w:rsid w:val="00A27228"/>
    <w:rsid w:val="00AE7DC5"/>
    <w:rsid w:val="00B13874"/>
    <w:rsid w:val="00B46388"/>
    <w:rsid w:val="00B976E8"/>
    <w:rsid w:val="00BA47CA"/>
    <w:rsid w:val="00C07935"/>
    <w:rsid w:val="00C22814"/>
    <w:rsid w:val="00C4472A"/>
    <w:rsid w:val="00C67B46"/>
    <w:rsid w:val="00C74528"/>
    <w:rsid w:val="00C81B4F"/>
    <w:rsid w:val="00C87148"/>
    <w:rsid w:val="00CB1666"/>
    <w:rsid w:val="00CB32CA"/>
    <w:rsid w:val="00CD106A"/>
    <w:rsid w:val="00D201DB"/>
    <w:rsid w:val="00D41FAA"/>
    <w:rsid w:val="00D80FDE"/>
    <w:rsid w:val="00DA69C0"/>
    <w:rsid w:val="00DB38B3"/>
    <w:rsid w:val="00DD69D1"/>
    <w:rsid w:val="00E00635"/>
    <w:rsid w:val="00E03C0B"/>
    <w:rsid w:val="00E33EBC"/>
    <w:rsid w:val="00E54FD5"/>
    <w:rsid w:val="00E7557B"/>
    <w:rsid w:val="00EA21B2"/>
    <w:rsid w:val="00EC3AAB"/>
    <w:rsid w:val="00EC6F9C"/>
    <w:rsid w:val="00F002C7"/>
    <w:rsid w:val="00F15233"/>
    <w:rsid w:val="00F16402"/>
    <w:rsid w:val="00F8049F"/>
    <w:rsid w:val="00FF7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B01E"/>
  <w15:docId w15:val="{4C5F1C0E-854C-49AD-B100-25608DC3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378D"/>
    <w:rPr>
      <w:b/>
      <w:bCs/>
    </w:rPr>
  </w:style>
  <w:style w:type="table" w:styleId="Tabelacomgrade">
    <w:name w:val="Table Grid"/>
    <w:basedOn w:val="Tabelanormal"/>
    <w:uiPriority w:val="59"/>
    <w:rsid w:val="00DA6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201D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201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201DB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B46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5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</dc:creator>
  <cp:lastModifiedBy>Chiara Ranieri Bassetto</cp:lastModifiedBy>
  <cp:revision>8</cp:revision>
  <cp:lastPrinted>2026-01-22T19:54:00Z</cp:lastPrinted>
  <dcterms:created xsi:type="dcterms:W3CDTF">2026-05-05T12:54:00Z</dcterms:created>
  <dcterms:modified xsi:type="dcterms:W3CDTF">2026-05-05T23:51:00Z</dcterms:modified>
</cp:coreProperties>
</file>